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1A71" w14:textId="42005B2F" w:rsidR="00747FC7" w:rsidRPr="00797BCE" w:rsidRDefault="00747FC7" w:rsidP="00747FC7">
      <w:pPr>
        <w:bidi/>
        <w:rPr>
          <w:rFonts w:asciiTheme="minorBidi" w:hAnsiTheme="minorBidi"/>
        </w:rPr>
      </w:pPr>
      <w:r w:rsidRPr="00797BCE">
        <w:rPr>
          <w:rFonts w:asciiTheme="minorBidi" w:hAnsiTheme="minorBidi" w:cs="Arial"/>
          <w:rtl/>
        </w:rPr>
        <w:t>بيان صحفي رقم 40/2024</w:t>
      </w:r>
    </w:p>
    <w:p w14:paraId="72173CD6" w14:textId="77777777" w:rsidR="00747FC7" w:rsidRPr="00747FC7" w:rsidRDefault="00747FC7" w:rsidP="00747FC7">
      <w:pPr>
        <w:bidi/>
        <w:rPr>
          <w:rFonts w:asciiTheme="minorBidi" w:hAnsiTheme="minorBidi"/>
          <w:b/>
          <w:bCs/>
        </w:rPr>
      </w:pPr>
    </w:p>
    <w:p w14:paraId="27CEDF0C" w14:textId="5330F1D6" w:rsidR="00747FC7" w:rsidRPr="00797BCE" w:rsidRDefault="00747FC7" w:rsidP="00747FC7">
      <w:pPr>
        <w:bidi/>
        <w:rPr>
          <w:rFonts w:asciiTheme="minorBidi" w:hAnsiTheme="minorBidi"/>
          <w:b/>
          <w:bCs/>
          <w:sz w:val="28"/>
          <w:szCs w:val="28"/>
        </w:rPr>
      </w:pPr>
      <w:r w:rsidRPr="00797BCE">
        <w:rPr>
          <w:rFonts w:asciiTheme="minorBidi" w:hAnsiTheme="minorBidi" w:cs="Arial"/>
          <w:b/>
          <w:bCs/>
          <w:sz w:val="28"/>
          <w:szCs w:val="28"/>
          <w:rtl/>
        </w:rPr>
        <w:t>الذكاء الاصطناعي، فرص الإدارة</w:t>
      </w:r>
    </w:p>
    <w:p w14:paraId="7AB5A854" w14:textId="464FA754" w:rsidR="003932CA" w:rsidRPr="00797BCE" w:rsidRDefault="00747FC7" w:rsidP="00747FC7">
      <w:pPr>
        <w:bidi/>
        <w:rPr>
          <w:rFonts w:asciiTheme="minorBidi" w:hAnsiTheme="minorBidi" w:cs="Arial"/>
          <w:b/>
          <w:bCs/>
          <w:i/>
          <w:iCs/>
          <w:rtl/>
        </w:rPr>
      </w:pPr>
      <w:r w:rsidRPr="00797BCE">
        <w:rPr>
          <w:rFonts w:asciiTheme="minorBidi" w:hAnsiTheme="minorBidi" w:cs="Arial"/>
          <w:b/>
          <w:bCs/>
          <w:i/>
          <w:iCs/>
          <w:rtl/>
        </w:rPr>
        <w:t xml:space="preserve">أحدث ما توصلت إليه تقنية الذكاء الاصطناعي في </w:t>
      </w:r>
      <w:r w:rsidRPr="00797BCE">
        <w:rPr>
          <w:rFonts w:asciiTheme="minorBidi" w:hAnsiTheme="minorBidi"/>
          <w:b/>
          <w:bCs/>
          <w:i/>
          <w:iCs/>
        </w:rPr>
        <w:t>EIMA International</w:t>
      </w:r>
      <w:r w:rsidRPr="00797BCE">
        <w:rPr>
          <w:rFonts w:asciiTheme="minorBidi" w:hAnsiTheme="minorBidi" w:cs="Arial"/>
          <w:b/>
          <w:bCs/>
          <w:i/>
          <w:iCs/>
          <w:rtl/>
        </w:rPr>
        <w:t>. الاستثمارات تنمو بقوة، لكن أوروبا تتخلف عن الولايات المتحدة والصين. وفي إيطاليا، ارتفعت قيمة السوق من 218 مليون يورو في عام 2018 إلى 710 مليون يورو في عام 2023.</w:t>
      </w:r>
    </w:p>
    <w:p w14:paraId="68013A2D" w14:textId="333C4768" w:rsidR="00747FC7" w:rsidRDefault="00747FC7" w:rsidP="00747FC7">
      <w:pPr>
        <w:bidi/>
        <w:rPr>
          <w:rFonts w:asciiTheme="minorBidi" w:hAnsiTheme="minorBidi" w:cs="Arial"/>
          <w:rtl/>
        </w:rPr>
      </w:pPr>
      <w:r w:rsidRPr="00747FC7">
        <w:rPr>
          <w:rFonts w:asciiTheme="minorBidi" w:hAnsiTheme="minorBidi" w:cs="Arial"/>
          <w:rtl/>
        </w:rPr>
        <w:t xml:space="preserve">«مع الذكاء الاصطناعي لا يمكنك الانتظار ورؤية ما سيحدث. نحن بحاجة إلى أن نكون نشطين، لأننا أمام ثورة مشابهة لتلك التي حدثت مع ظهور الإنترنت". يسلط </w:t>
      </w:r>
      <w:r w:rsidRPr="00747FC7">
        <w:rPr>
          <w:rFonts w:asciiTheme="minorBidi" w:hAnsiTheme="minorBidi" w:cs="Arial"/>
        </w:rPr>
        <w:t>Giampaolo Barbieri</w:t>
      </w:r>
      <w:r w:rsidRPr="00747FC7">
        <w:rPr>
          <w:rFonts w:asciiTheme="minorBidi" w:hAnsiTheme="minorBidi" w:cs="Arial"/>
          <w:rtl/>
        </w:rPr>
        <w:t xml:space="preserve">، الرئيس التنفيذي لشركة </w:t>
      </w:r>
      <w:r w:rsidRPr="00747FC7">
        <w:rPr>
          <w:rFonts w:asciiTheme="minorBidi" w:hAnsiTheme="minorBidi"/>
        </w:rPr>
        <w:t xml:space="preserve">Barbieri </w:t>
      </w:r>
      <w:proofErr w:type="spellStart"/>
      <w:r w:rsidRPr="00747FC7">
        <w:rPr>
          <w:rFonts w:asciiTheme="minorBidi" w:hAnsiTheme="minorBidi"/>
        </w:rPr>
        <w:t>srl</w:t>
      </w:r>
      <w:proofErr w:type="spellEnd"/>
      <w:r w:rsidRPr="00747FC7">
        <w:rPr>
          <w:rFonts w:asciiTheme="minorBidi" w:hAnsiTheme="minorBidi" w:cs="Arial"/>
          <w:rtl/>
        </w:rPr>
        <w:t xml:space="preserve"> وعضو المجلس الرئاسي </w:t>
      </w:r>
      <w:r w:rsidR="00D4014C">
        <w:rPr>
          <w:rFonts w:asciiTheme="minorBidi" w:hAnsiTheme="minorBidi" w:cs="Arial" w:hint="cs"/>
          <w:rtl/>
        </w:rPr>
        <w:t>ل</w:t>
      </w:r>
      <w:r w:rsidRPr="00747FC7">
        <w:rPr>
          <w:rFonts w:asciiTheme="minorBidi" w:hAnsiTheme="minorBidi" w:cs="Arial"/>
          <w:rtl/>
        </w:rPr>
        <w:t xml:space="preserve"> </w:t>
      </w:r>
      <w:proofErr w:type="spellStart"/>
      <w:r w:rsidRPr="00747FC7">
        <w:rPr>
          <w:rFonts w:asciiTheme="minorBidi" w:hAnsiTheme="minorBidi"/>
        </w:rPr>
        <w:t>FederUnacoma</w:t>
      </w:r>
      <w:proofErr w:type="spellEnd"/>
      <w:r w:rsidRPr="00747FC7">
        <w:rPr>
          <w:rFonts w:asciiTheme="minorBidi" w:hAnsiTheme="minorBidi" w:cs="Arial"/>
          <w:rtl/>
        </w:rPr>
        <w:t xml:space="preserve">، الضوء بهذه الكلمات على مدى ظهور الذكاء الاصطناعي في جميع القطاعات، بما في ذلك الزراعة. </w:t>
      </w:r>
      <w:r>
        <w:rPr>
          <w:rFonts w:asciiTheme="minorBidi" w:hAnsiTheme="minorBidi" w:cs="Arial" w:hint="cs"/>
          <w:rtl/>
        </w:rPr>
        <w:t>و</w:t>
      </w:r>
      <w:r w:rsidRPr="00747FC7">
        <w:rPr>
          <w:rFonts w:asciiTheme="minorBidi" w:hAnsiTheme="minorBidi" w:cs="Arial"/>
          <w:rtl/>
        </w:rPr>
        <w:t xml:space="preserve">ذلك في </w:t>
      </w:r>
      <w:r w:rsidRPr="00747FC7">
        <w:rPr>
          <w:rFonts w:asciiTheme="minorBidi" w:hAnsiTheme="minorBidi"/>
        </w:rPr>
        <w:t>Eima International</w:t>
      </w:r>
      <w:r w:rsidRPr="00747FC7">
        <w:rPr>
          <w:rFonts w:asciiTheme="minorBidi" w:hAnsiTheme="minorBidi" w:cs="Arial"/>
          <w:rtl/>
        </w:rPr>
        <w:t xml:space="preserve"> في </w:t>
      </w:r>
      <w:r>
        <w:rPr>
          <w:rFonts w:asciiTheme="minorBidi" w:hAnsiTheme="minorBidi" w:cs="Arial" w:hint="cs"/>
          <w:rtl/>
        </w:rPr>
        <w:t>اللقاء</w:t>
      </w:r>
      <w:r w:rsidRPr="00747FC7">
        <w:rPr>
          <w:rFonts w:asciiTheme="minorBidi" w:hAnsiTheme="minorBidi" w:cs="Arial"/>
          <w:rtl/>
        </w:rPr>
        <w:t xml:space="preserve"> الذي يحمل عنوان "الذكاء الاصطناعي: آفاق الصناعة" والذي حضره ممثلون عن </w:t>
      </w:r>
      <w:proofErr w:type="spellStart"/>
      <w:r w:rsidRPr="00747FC7">
        <w:rPr>
          <w:rFonts w:asciiTheme="minorBidi" w:hAnsiTheme="minorBidi"/>
        </w:rPr>
        <w:t>Cema</w:t>
      </w:r>
      <w:proofErr w:type="spellEnd"/>
      <w:r w:rsidRPr="00747FC7">
        <w:rPr>
          <w:rFonts w:asciiTheme="minorBidi" w:hAnsiTheme="minorBidi" w:cs="Arial"/>
          <w:rtl/>
        </w:rPr>
        <w:t xml:space="preserve"> (اللجنة الأوروبية لمصنعي الآلات الزراعية)، وجامعة مودينا </w:t>
      </w:r>
      <w:proofErr w:type="spellStart"/>
      <w:r w:rsidRPr="00747FC7">
        <w:rPr>
          <w:rFonts w:asciiTheme="minorBidi" w:hAnsiTheme="minorBidi" w:cs="Arial"/>
          <w:rtl/>
        </w:rPr>
        <w:t>وريجيو</w:t>
      </w:r>
      <w:proofErr w:type="spellEnd"/>
      <w:r w:rsidRPr="00747FC7">
        <w:rPr>
          <w:rFonts w:asciiTheme="minorBidi" w:hAnsiTheme="minorBidi" w:cs="Arial"/>
          <w:rtl/>
        </w:rPr>
        <w:t xml:space="preserve"> </w:t>
      </w:r>
      <w:proofErr w:type="spellStart"/>
      <w:r w:rsidRPr="00747FC7">
        <w:rPr>
          <w:rFonts w:asciiTheme="minorBidi" w:hAnsiTheme="minorBidi" w:cs="Arial"/>
          <w:rtl/>
        </w:rPr>
        <w:t>إميليا</w:t>
      </w:r>
      <w:proofErr w:type="spellEnd"/>
      <w:r w:rsidRPr="00747FC7">
        <w:rPr>
          <w:rFonts w:asciiTheme="minorBidi" w:hAnsiTheme="minorBidi" w:cs="Arial"/>
          <w:rtl/>
        </w:rPr>
        <w:t xml:space="preserve"> ومصنعين مهمين مثل </w:t>
      </w:r>
      <w:r w:rsidRPr="00747FC7">
        <w:rPr>
          <w:rFonts w:asciiTheme="minorBidi" w:hAnsiTheme="minorBidi"/>
        </w:rPr>
        <w:t>John Deere</w:t>
      </w:r>
      <w:r w:rsidRPr="00747FC7">
        <w:rPr>
          <w:rFonts w:asciiTheme="minorBidi" w:hAnsiTheme="minorBidi" w:cs="Arial"/>
          <w:rtl/>
        </w:rPr>
        <w:t xml:space="preserve">. </w:t>
      </w:r>
      <w:proofErr w:type="gramStart"/>
      <w:r w:rsidRPr="00747FC7">
        <w:rPr>
          <w:rFonts w:asciiTheme="minorBidi" w:hAnsiTheme="minorBidi" w:cs="Arial"/>
          <w:rtl/>
        </w:rPr>
        <w:t xml:space="preserve">و </w:t>
      </w:r>
      <w:r w:rsidRPr="00747FC7">
        <w:rPr>
          <w:rFonts w:asciiTheme="minorBidi" w:hAnsiTheme="minorBidi"/>
        </w:rPr>
        <w:t>Cnh</w:t>
      </w:r>
      <w:proofErr w:type="gramEnd"/>
      <w:r w:rsidRPr="00747FC7">
        <w:rPr>
          <w:rFonts w:asciiTheme="minorBidi" w:hAnsiTheme="minorBidi" w:cs="Arial"/>
          <w:rtl/>
        </w:rPr>
        <w:t>.</w:t>
      </w:r>
    </w:p>
    <w:p w14:paraId="3046D84C" w14:textId="6AB41F7D" w:rsidR="00747FC7" w:rsidRDefault="00747FC7" w:rsidP="00747FC7">
      <w:pPr>
        <w:bidi/>
        <w:rPr>
          <w:rFonts w:asciiTheme="minorBidi" w:hAnsiTheme="minorBidi" w:cs="Arial"/>
          <w:rtl/>
        </w:rPr>
      </w:pPr>
      <w:r w:rsidRPr="00747FC7">
        <w:rPr>
          <w:rFonts w:asciiTheme="minorBidi" w:hAnsiTheme="minorBidi" w:cs="Arial"/>
          <w:rtl/>
        </w:rPr>
        <w:t>لقد أصبح التقدم في مجال الذكاء الاصطناعي ملحوظًا، وأصبحت التطبيقات في الزراعة الآن عديدة. في الميدان، وبفضل التعرف البصري، يمكن التعرف على المشاكل المرضية النباتية أو نقص الري والتعامل معها بسرعة. ومن خلال الروبوتات المجهزة بالذكاء الاصطناعي - كما تم التأكيد خلال ال</w:t>
      </w:r>
      <w:r>
        <w:rPr>
          <w:rFonts w:asciiTheme="minorBidi" w:hAnsiTheme="minorBidi" w:cs="Arial" w:hint="cs"/>
          <w:rtl/>
        </w:rPr>
        <w:t>لقاء</w:t>
      </w:r>
      <w:r w:rsidRPr="00747FC7">
        <w:rPr>
          <w:rFonts w:asciiTheme="minorBidi" w:hAnsiTheme="minorBidi" w:cs="Arial"/>
          <w:rtl/>
        </w:rPr>
        <w:t xml:space="preserve"> - يمكن إجراء عمليات الحصاد تلقائيًا، وحتى في المراحل النهائية من عملية الإنتاج، يمكن استخدام الذكاء الاصطناعي للاختيار في قطاع الفاكهة والخضروات وتحسين عمليات التعبئة والتغليف.</w:t>
      </w:r>
    </w:p>
    <w:p w14:paraId="1B0B6CDA" w14:textId="095599A7" w:rsidR="00747FC7" w:rsidRDefault="00747FC7" w:rsidP="00747FC7">
      <w:pPr>
        <w:bidi/>
        <w:rPr>
          <w:rFonts w:asciiTheme="minorBidi" w:hAnsiTheme="minorBidi" w:cs="Arial"/>
          <w:rtl/>
        </w:rPr>
      </w:pPr>
      <w:r w:rsidRPr="00747FC7">
        <w:rPr>
          <w:rFonts w:asciiTheme="minorBidi" w:hAnsiTheme="minorBidi" w:cs="Arial"/>
          <w:rtl/>
        </w:rPr>
        <w:t xml:space="preserve">بالنسبة </w:t>
      </w:r>
      <w:proofErr w:type="gramStart"/>
      <w:r w:rsidR="00D4014C">
        <w:rPr>
          <w:rFonts w:asciiTheme="minorBidi" w:hAnsiTheme="minorBidi" w:cs="Arial" w:hint="cs"/>
          <w:rtl/>
        </w:rPr>
        <w:t>ل</w:t>
      </w:r>
      <w:r w:rsidRPr="00747FC7">
        <w:rPr>
          <w:rFonts w:asciiTheme="minorBidi" w:hAnsiTheme="minorBidi" w:cs="Arial"/>
        </w:rPr>
        <w:t>Barbieri</w:t>
      </w:r>
      <w:proofErr w:type="gramEnd"/>
      <w:r w:rsidRPr="00747FC7">
        <w:rPr>
          <w:rFonts w:asciiTheme="minorBidi" w:hAnsiTheme="minorBidi" w:cs="Arial"/>
          <w:rtl/>
        </w:rPr>
        <w:t xml:space="preserve">، الذكاء الاصطناعي لا يقتصر على الشركات الصناعية العملاقة، ولكنه يمثل فرصة استثنائية أيضًا للشركات الصغيرة والمتوسطة الحجم. «لقد سلطت دراسة حديثة حول هذه الأنواع من الشركات - لاحظ عضو مجلس </w:t>
      </w:r>
      <w:proofErr w:type="spellStart"/>
      <w:r w:rsidRPr="00747FC7">
        <w:rPr>
          <w:rFonts w:asciiTheme="minorBidi" w:hAnsiTheme="minorBidi"/>
        </w:rPr>
        <w:t>FederUnacoma</w:t>
      </w:r>
      <w:proofErr w:type="spellEnd"/>
      <w:r w:rsidRPr="00747FC7">
        <w:rPr>
          <w:rFonts w:asciiTheme="minorBidi" w:hAnsiTheme="minorBidi" w:cs="Arial"/>
          <w:rtl/>
        </w:rPr>
        <w:t xml:space="preserve"> - الضوء على أن أولئك الذين يستخدمون الذكاء الاصطناعي في شركاتهم لديهم أكثر من ضعف إمكانية تحقيق الدخل والنمو مقارنة بالشركات التي قررت عدم الدخول في هذا السوق. ويعود الفضل في ذلك إلى زيادة الكفاءة وأنظمة دعم القرار وتحسين الإنتاجية.</w:t>
      </w:r>
      <w:r>
        <w:rPr>
          <w:rFonts w:asciiTheme="minorBidi" w:hAnsiTheme="minorBidi" w:cs="Arial" w:hint="cs"/>
          <w:rtl/>
        </w:rPr>
        <w:t xml:space="preserve"> و </w:t>
      </w:r>
      <w:proofErr w:type="gramStart"/>
      <w:r>
        <w:rPr>
          <w:rFonts w:asciiTheme="minorBidi" w:hAnsiTheme="minorBidi" w:cs="Arial" w:hint="cs"/>
          <w:rtl/>
        </w:rPr>
        <w:t>انهى</w:t>
      </w:r>
      <w:proofErr w:type="gramEnd"/>
      <w:r>
        <w:rPr>
          <w:rFonts w:asciiTheme="minorBidi" w:hAnsiTheme="minorBidi" w:cs="Arial" w:hint="cs"/>
          <w:rtl/>
        </w:rPr>
        <w:t xml:space="preserve"> </w:t>
      </w:r>
      <w:r w:rsidRPr="00747FC7">
        <w:rPr>
          <w:rFonts w:asciiTheme="minorBidi" w:hAnsiTheme="minorBidi" w:cs="Arial"/>
        </w:rPr>
        <w:t>Barbieri</w:t>
      </w:r>
      <w:r>
        <w:rPr>
          <w:rFonts w:asciiTheme="minorBidi" w:hAnsiTheme="minorBidi" w:cs="Arial" w:hint="cs"/>
          <w:rtl/>
        </w:rPr>
        <w:t xml:space="preserve"> حديثه</w:t>
      </w:r>
      <w:r w:rsidRPr="00747FC7">
        <w:rPr>
          <w:rFonts w:asciiTheme="minorBidi" w:hAnsiTheme="minorBidi" w:cs="Arial"/>
          <w:rtl/>
        </w:rPr>
        <w:t xml:space="preserve"> "الذكاء الاصطناعي يمثل "معززًا" حقيقيًا للأعمال التجارية وبالنسبة لنا نحن المصنعين".</w:t>
      </w:r>
    </w:p>
    <w:p w14:paraId="68BD0EE8" w14:textId="49F54CD0" w:rsidR="00955CAC" w:rsidRPr="00955CAC" w:rsidRDefault="00955CAC" w:rsidP="00955CAC">
      <w:pPr>
        <w:bidi/>
        <w:rPr>
          <w:rFonts w:asciiTheme="minorBidi" w:hAnsiTheme="minorBidi"/>
        </w:rPr>
      </w:pPr>
      <w:r w:rsidRPr="00955CAC">
        <w:rPr>
          <w:rFonts w:asciiTheme="minorBidi" w:hAnsiTheme="minorBidi" w:cs="Arial"/>
          <w:rtl/>
        </w:rPr>
        <w:t xml:space="preserve">يتم تأكيد نمو الذكاء الاصطناعي في إيطاليا من خلال الأعداد المتزايدة باستمرار. في عام 2018، وفقًا لبيانات جامعة </w:t>
      </w:r>
      <w:r w:rsidRPr="00955CAC">
        <w:rPr>
          <w:rFonts w:asciiTheme="minorBidi" w:hAnsiTheme="minorBidi" w:cs="Arial"/>
        </w:rPr>
        <w:t>Politecnico di Milano</w:t>
      </w:r>
      <w:r w:rsidRPr="00955CAC">
        <w:rPr>
          <w:rFonts w:asciiTheme="minorBidi" w:hAnsiTheme="minorBidi" w:cs="Arial"/>
          <w:rtl/>
        </w:rPr>
        <w:t xml:space="preserve">، بلغت قيمة السوق 210 ملايين يورو، ثم ارتفعت بعد ذلك إلى 300 في عام 2020 و500 في عام 2022. وفي عام 2023 وهي أحدث البيانات المتاحة لإيطاليا، وصلت إلى 760 مليون يورو مع نمو بنسبة 52% مقارنة مع الأشهر </w:t>
      </w:r>
      <w:proofErr w:type="gramStart"/>
      <w:r w:rsidRPr="00955CAC">
        <w:rPr>
          <w:rFonts w:asciiTheme="minorBidi" w:hAnsiTheme="minorBidi" w:cs="Arial"/>
          <w:rtl/>
        </w:rPr>
        <w:t>الـ12</w:t>
      </w:r>
      <w:proofErr w:type="gramEnd"/>
      <w:r w:rsidRPr="00955CAC">
        <w:rPr>
          <w:rFonts w:asciiTheme="minorBidi" w:hAnsiTheme="minorBidi" w:cs="Arial"/>
          <w:rtl/>
        </w:rPr>
        <w:t xml:space="preserve"> السابقة ومع ذلك، وكما يشير </w:t>
      </w:r>
      <w:r w:rsidRPr="00955CAC">
        <w:rPr>
          <w:rFonts w:asciiTheme="minorBidi" w:hAnsiTheme="minorBidi" w:cs="Arial"/>
        </w:rPr>
        <w:t xml:space="preserve">Marko </w:t>
      </w:r>
      <w:proofErr w:type="spellStart"/>
      <w:r w:rsidRPr="00955CAC">
        <w:rPr>
          <w:rFonts w:asciiTheme="minorBidi" w:hAnsiTheme="minorBidi" w:cs="Arial"/>
        </w:rPr>
        <w:t>Bertogna</w:t>
      </w:r>
      <w:proofErr w:type="spellEnd"/>
      <w:r w:rsidRPr="00955CAC">
        <w:rPr>
          <w:rFonts w:asciiTheme="minorBidi" w:hAnsiTheme="minorBidi" w:cs="Arial"/>
          <w:rtl/>
        </w:rPr>
        <w:t xml:space="preserve">، أستاذ العلوم الفيزيائية والحاسوبية والرياضية في جامعة </w:t>
      </w:r>
      <w:proofErr w:type="spellStart"/>
      <w:r w:rsidRPr="00955CAC">
        <w:rPr>
          <w:rFonts w:asciiTheme="minorBidi" w:hAnsiTheme="minorBidi" w:cs="Arial"/>
        </w:rPr>
        <w:t>Unimore</w:t>
      </w:r>
      <w:proofErr w:type="spellEnd"/>
      <w:r w:rsidRPr="00955CAC">
        <w:rPr>
          <w:rFonts w:asciiTheme="minorBidi" w:hAnsiTheme="minorBidi" w:cs="Arial"/>
          <w:rtl/>
        </w:rPr>
        <w:t xml:space="preserve">، فإن أوروبا متخلفة عن الركب: "لم يفت الأوان بعد للاستثمار، ولا تزال إمكانيات التوسع قائمة. ولكن من الجدير بالذكر أن الشركات العشر الكبرى من حيث الاستثمارات في قطاع التكنولوجيا الفائقة هذا كلها أمريكية أو صينية. ويؤكد </w:t>
      </w:r>
      <w:proofErr w:type="spellStart"/>
      <w:r w:rsidRPr="00955CAC">
        <w:rPr>
          <w:rFonts w:asciiTheme="minorBidi" w:hAnsiTheme="minorBidi" w:cs="Arial"/>
        </w:rPr>
        <w:t>Bertogna</w:t>
      </w:r>
      <w:proofErr w:type="spellEnd"/>
      <w:r>
        <w:rPr>
          <w:rFonts w:asciiTheme="minorBidi" w:hAnsiTheme="minorBidi" w:cs="Arial" w:hint="cs"/>
          <w:rtl/>
        </w:rPr>
        <w:t xml:space="preserve"> </w:t>
      </w:r>
      <w:r w:rsidRPr="00955CAC">
        <w:rPr>
          <w:rFonts w:asciiTheme="minorBidi" w:hAnsiTheme="minorBidi" w:cs="Arial"/>
          <w:rtl/>
        </w:rPr>
        <w:t xml:space="preserve">أن هناك العديد من المنتجات الناضجة في قطاع الميكنة الزراعية، على سبيل المثال فيما يتعلق بالقيادة الذاتية. </w:t>
      </w:r>
      <w:r w:rsidRPr="00955CAC">
        <w:rPr>
          <w:rFonts w:asciiTheme="minorBidi" w:hAnsiTheme="minorBidi"/>
        </w:rPr>
        <w:t>EIMA International 2024</w:t>
      </w:r>
      <w:r w:rsidRPr="00955CAC">
        <w:rPr>
          <w:rFonts w:asciiTheme="minorBidi" w:hAnsiTheme="minorBidi" w:cs="Arial"/>
          <w:rtl/>
        </w:rPr>
        <w:t xml:space="preserve"> هو مرآة لتطور واضح.</w:t>
      </w:r>
    </w:p>
    <w:p w14:paraId="37F1D3BE" w14:textId="77777777" w:rsidR="00955CAC" w:rsidRPr="00955CAC" w:rsidRDefault="00955CAC" w:rsidP="00955CAC">
      <w:pPr>
        <w:bidi/>
        <w:rPr>
          <w:rFonts w:asciiTheme="minorBidi" w:hAnsiTheme="minorBidi"/>
          <w:b/>
          <w:bCs/>
        </w:rPr>
      </w:pPr>
    </w:p>
    <w:p w14:paraId="0E98D8B2" w14:textId="1B323301" w:rsidR="00955CAC" w:rsidRPr="00955CAC" w:rsidRDefault="00797BCE" w:rsidP="00797BCE">
      <w:pPr>
        <w:bidi/>
        <w:rPr>
          <w:rFonts w:asciiTheme="minorBidi" w:hAnsiTheme="minorBidi" w:hint="cs"/>
          <w:b/>
          <w:bCs/>
          <w:rtl/>
          <w:lang w:bidi="ar-SY"/>
        </w:rPr>
      </w:pPr>
      <w:r w:rsidRPr="00A1237A">
        <w:rPr>
          <w:rFonts w:asciiTheme="minorBidi" w:hAnsiTheme="minorBidi" w:cs="Arial"/>
          <w:b/>
          <w:bCs/>
          <w:i/>
          <w:iCs/>
          <w:rtl/>
        </w:rPr>
        <w:t>بولونيا</w:t>
      </w:r>
      <w:r w:rsidRPr="00A1237A">
        <w:rPr>
          <w:rFonts w:asciiTheme="minorBidi" w:hAnsiTheme="minorBidi" w:cs="Arial" w:hint="cs"/>
          <w:b/>
          <w:bCs/>
          <w:i/>
          <w:iCs/>
          <w:rtl/>
        </w:rPr>
        <w:t xml:space="preserve"> </w:t>
      </w:r>
      <w:r w:rsidRPr="00A1237A">
        <w:rPr>
          <w:rFonts w:asciiTheme="minorBidi" w:hAnsiTheme="minorBidi" w:cs="Arial"/>
          <w:b/>
          <w:bCs/>
          <w:i/>
          <w:iCs/>
          <w:lang w:val="en-GB"/>
        </w:rPr>
        <w:t>Bologna</w:t>
      </w:r>
      <w:r w:rsidRPr="00A1237A">
        <w:rPr>
          <w:rFonts w:asciiTheme="minorBidi" w:hAnsiTheme="minorBidi" w:cs="Arial"/>
          <w:b/>
          <w:bCs/>
          <w:i/>
          <w:iCs/>
          <w:rtl/>
        </w:rPr>
        <w:t>، 7 نوفمبر 2024</w:t>
      </w:r>
      <w:r w:rsidR="004D0F89">
        <w:rPr>
          <w:rFonts w:asciiTheme="minorBidi" w:hAnsiTheme="minorBidi" w:cs="Arial"/>
          <w:b/>
          <w:bCs/>
          <w:i/>
          <w:iCs/>
        </w:rPr>
        <w:t xml:space="preserve">  </w:t>
      </w:r>
      <w:r w:rsidR="004D0F89">
        <w:rPr>
          <w:rFonts w:asciiTheme="minorBidi" w:hAnsiTheme="minorBidi" w:cs="Arial" w:hint="cs"/>
          <w:b/>
          <w:bCs/>
          <w:i/>
          <w:iCs/>
          <w:rtl/>
          <w:lang w:bidi="ar-SY"/>
        </w:rPr>
        <w:t xml:space="preserve">   </w:t>
      </w:r>
    </w:p>
    <w:sectPr w:rsidR="00955CAC" w:rsidRPr="00955CAC"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23"/>
    <w:rsid w:val="0004180B"/>
    <w:rsid w:val="00070F23"/>
    <w:rsid w:val="003932CA"/>
    <w:rsid w:val="004D0F89"/>
    <w:rsid w:val="00747FC7"/>
    <w:rsid w:val="00797BCE"/>
    <w:rsid w:val="00955CAC"/>
    <w:rsid w:val="00AD45D1"/>
    <w:rsid w:val="00B012D2"/>
    <w:rsid w:val="00B72820"/>
    <w:rsid w:val="00C22CEF"/>
    <w:rsid w:val="00D4014C"/>
    <w:rsid w:val="00F82653"/>
    <w:rsid w:val="00FC2F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09EE"/>
  <w15:chartTrackingRefBased/>
  <w15:docId w15:val="{3C23618B-5A3E-473C-9431-76D01271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0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70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70F2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70F2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70F2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70F2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0F2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0F2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0F2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0F2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70F2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70F2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70F2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70F2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70F2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0F2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0F2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0F2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0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0F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0F2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0F2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0F2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0F23"/>
    <w:rPr>
      <w:i/>
      <w:iCs/>
      <w:color w:val="404040" w:themeColor="text1" w:themeTint="BF"/>
    </w:rPr>
  </w:style>
  <w:style w:type="paragraph" w:styleId="Paragrafoelenco">
    <w:name w:val="List Paragraph"/>
    <w:basedOn w:val="Normale"/>
    <w:uiPriority w:val="34"/>
    <w:qFormat/>
    <w:rsid w:val="00070F23"/>
    <w:pPr>
      <w:ind w:left="720"/>
      <w:contextualSpacing/>
    </w:pPr>
  </w:style>
  <w:style w:type="character" w:styleId="Enfasiintensa">
    <w:name w:val="Intense Emphasis"/>
    <w:basedOn w:val="Carpredefinitoparagrafo"/>
    <w:uiPriority w:val="21"/>
    <w:qFormat/>
    <w:rsid w:val="00070F23"/>
    <w:rPr>
      <w:i/>
      <w:iCs/>
      <w:color w:val="2F5496" w:themeColor="accent1" w:themeShade="BF"/>
    </w:rPr>
  </w:style>
  <w:style w:type="paragraph" w:styleId="Citazioneintensa">
    <w:name w:val="Intense Quote"/>
    <w:basedOn w:val="Normale"/>
    <w:next w:val="Normale"/>
    <w:link w:val="CitazioneintensaCarattere"/>
    <w:uiPriority w:val="30"/>
    <w:qFormat/>
    <w:rsid w:val="00070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70F23"/>
    <w:rPr>
      <w:i/>
      <w:iCs/>
      <w:color w:val="2F5496" w:themeColor="accent1" w:themeShade="BF"/>
    </w:rPr>
  </w:style>
  <w:style w:type="character" w:styleId="Riferimentointenso">
    <w:name w:val="Intense Reference"/>
    <w:basedOn w:val="Carpredefinitoparagrafo"/>
    <w:uiPriority w:val="32"/>
    <w:qFormat/>
    <w:rsid w:val="00070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400</Words>
  <Characters>2284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5</cp:revision>
  <dcterms:created xsi:type="dcterms:W3CDTF">2024-11-07T21:41:00Z</dcterms:created>
  <dcterms:modified xsi:type="dcterms:W3CDTF">2024-11-08T06:13:00Z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2024-11-07T21:56:10Z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bd742e12-2fd4-47c9-9c2d-353ad1c0e03b</vt:lpwstr>
  </property>
  <property fmtid="{D5CDD505-2E9C-101B-9397-08002B2CF9AE}" pid="8" name="MSIP_Label_defa4170-0d19-0005-0004-bc88714345d2_ContentBits">
    <vt:lpwstr>0</vt:lpwstr>
  </property>
</Properties>
</file>